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50A87" w14:textId="1B670150" w:rsidR="000665B9" w:rsidRPr="000665B9" w:rsidRDefault="000665B9" w:rsidP="000665B9">
      <w:pPr>
        <w:rPr>
          <w:i/>
          <w:iCs/>
          <w:sz w:val="24"/>
          <w:szCs w:val="24"/>
        </w:rPr>
      </w:pPr>
      <w:r w:rsidRPr="000665B9">
        <w:rPr>
          <w:i/>
          <w:iCs/>
          <w:sz w:val="24"/>
          <w:szCs w:val="24"/>
        </w:rPr>
        <w:t xml:space="preserve">Životní </w:t>
      </w:r>
      <w:r w:rsidR="000D17E8" w:rsidRPr="000665B9">
        <w:rPr>
          <w:i/>
          <w:iCs/>
          <w:sz w:val="24"/>
          <w:szCs w:val="24"/>
        </w:rPr>
        <w:t>situace – Žádost</w:t>
      </w:r>
      <w:r w:rsidRPr="000665B9">
        <w:rPr>
          <w:i/>
          <w:iCs/>
          <w:sz w:val="24"/>
          <w:szCs w:val="24"/>
        </w:rPr>
        <w:t xml:space="preserve"> o informace podle zákona č. 106/1999 Sb., o svobodném přístupu k informacím (dále jen Zákon)</w:t>
      </w:r>
    </w:p>
    <w:p w14:paraId="0FBD6A08" w14:textId="77777777" w:rsidR="000665B9" w:rsidRDefault="000665B9" w:rsidP="00870102">
      <w:pPr>
        <w:rPr>
          <w:b/>
          <w:bCs/>
        </w:rPr>
      </w:pPr>
    </w:p>
    <w:p w14:paraId="4799D108" w14:textId="77777777" w:rsidR="000665B9" w:rsidRDefault="000665B9" w:rsidP="00870102">
      <w:pPr>
        <w:rPr>
          <w:b/>
          <w:bCs/>
        </w:rPr>
      </w:pPr>
    </w:p>
    <w:p w14:paraId="0E47DDFB" w14:textId="709963E2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1. Identifikační číslo</w:t>
      </w:r>
      <w:r w:rsidRPr="000665B9">
        <w:rPr>
          <w:b/>
          <w:bCs/>
        </w:rPr>
        <w:tab/>
      </w:r>
    </w:p>
    <w:p w14:paraId="695A36E3" w14:textId="7FA3EA87" w:rsidR="00870102" w:rsidRDefault="00870102" w:rsidP="00870102">
      <w:r>
        <w:t>Nestanoveno</w:t>
      </w:r>
    </w:p>
    <w:p w14:paraId="68BE127B" w14:textId="77777777" w:rsidR="000665B9" w:rsidRDefault="000665B9" w:rsidP="00870102">
      <w:pPr>
        <w:rPr>
          <w:b/>
          <w:bCs/>
        </w:rPr>
      </w:pPr>
    </w:p>
    <w:p w14:paraId="1F5CE529" w14:textId="357F1E67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2. Kód</w:t>
      </w:r>
      <w:r w:rsidRPr="000665B9">
        <w:rPr>
          <w:b/>
          <w:bCs/>
        </w:rPr>
        <w:tab/>
      </w:r>
    </w:p>
    <w:p w14:paraId="27218807" w14:textId="124F533C" w:rsidR="00870102" w:rsidRDefault="00870102" w:rsidP="00870102">
      <w:r>
        <w:t>Nestanoven</w:t>
      </w:r>
    </w:p>
    <w:p w14:paraId="7DE42C29" w14:textId="77777777" w:rsidR="000665B9" w:rsidRDefault="000665B9" w:rsidP="00870102">
      <w:pPr>
        <w:rPr>
          <w:b/>
          <w:bCs/>
        </w:rPr>
      </w:pPr>
    </w:p>
    <w:p w14:paraId="49D01EB9" w14:textId="7EB842B6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3. Pojmenování (název) životní situace.</w:t>
      </w:r>
    </w:p>
    <w:p w14:paraId="2825982F" w14:textId="2F3E2904" w:rsidR="00870102" w:rsidRDefault="00870102" w:rsidP="00870102">
      <w:r w:rsidRPr="00870102">
        <w:t>Žádost o informace podle zákona č. 106/1999 S</w:t>
      </w:r>
      <w:r>
        <w:t>b</w:t>
      </w:r>
      <w:r w:rsidRPr="00870102">
        <w:t>., o svobodném přístupu k</w:t>
      </w:r>
      <w:r w:rsidR="000665B9">
        <w:t> </w:t>
      </w:r>
      <w:r w:rsidRPr="00870102">
        <w:t>informacím</w:t>
      </w:r>
      <w:r w:rsidR="000665B9">
        <w:t xml:space="preserve"> (dále jen Zákon)</w:t>
      </w:r>
    </w:p>
    <w:p w14:paraId="69FCBA91" w14:textId="77777777" w:rsidR="000665B9" w:rsidRDefault="000665B9" w:rsidP="00870102">
      <w:pPr>
        <w:rPr>
          <w:b/>
          <w:bCs/>
        </w:rPr>
      </w:pPr>
    </w:p>
    <w:p w14:paraId="50378E53" w14:textId="1D128172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4. Základní informace k životní situaci.</w:t>
      </w:r>
      <w:r w:rsidRPr="000665B9">
        <w:rPr>
          <w:b/>
          <w:bCs/>
        </w:rPr>
        <w:tab/>
      </w:r>
    </w:p>
    <w:p w14:paraId="63ADD31F" w14:textId="6287CD7B" w:rsidR="00870102" w:rsidRDefault="00E83D07" w:rsidP="00870102">
      <w:hyperlink r:id="rId4" w:history="1">
        <w:r w:rsidR="00870102" w:rsidRPr="00140E25">
          <w:rPr>
            <w:rStyle w:val="Hypertextovodkaz"/>
          </w:rPr>
          <w:t>Žádost o informaci</w:t>
        </w:r>
      </w:hyperlink>
      <w:r w:rsidR="00870102" w:rsidRPr="00870102">
        <w:t xml:space="preserve"> k povinnému subjektu (mateřská škola)</w:t>
      </w:r>
      <w:r w:rsidR="00870102">
        <w:t>, dle zákona č. 106/1999 Sb.</w:t>
      </w:r>
    </w:p>
    <w:p w14:paraId="2D21E9E4" w14:textId="77777777" w:rsidR="00870102" w:rsidRDefault="00870102" w:rsidP="00870102"/>
    <w:p w14:paraId="19A41B49" w14:textId="1E89437A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5. Kdo je oprávněn v této věci jednat (podat žádost apod.)</w:t>
      </w:r>
      <w:r w:rsidRPr="000665B9">
        <w:rPr>
          <w:b/>
          <w:bCs/>
        </w:rPr>
        <w:tab/>
      </w:r>
    </w:p>
    <w:p w14:paraId="12EE526D" w14:textId="77D95B43" w:rsidR="00870102" w:rsidRDefault="00870102" w:rsidP="00870102">
      <w:r w:rsidRPr="00870102">
        <w:t>Žadatelem je pro účel Zákona každá fyzická i právnická osoba, která o informaci požádá</w:t>
      </w:r>
      <w:r w:rsidR="00197D86">
        <w:t>.</w:t>
      </w:r>
    </w:p>
    <w:p w14:paraId="6F86AFC8" w14:textId="77777777" w:rsidR="000665B9" w:rsidRDefault="000665B9" w:rsidP="00870102">
      <w:pPr>
        <w:rPr>
          <w:b/>
          <w:bCs/>
        </w:rPr>
      </w:pPr>
    </w:p>
    <w:p w14:paraId="1911EF17" w14:textId="67136E98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6. Jaké jsou podmínky a postup pro řešení životní situace</w:t>
      </w:r>
    </w:p>
    <w:p w14:paraId="2AA61FE4" w14:textId="184060AF" w:rsidR="00870102" w:rsidRDefault="00870102" w:rsidP="00870102">
      <w:r w:rsidRPr="00870102">
        <w:t xml:space="preserve">Podání žádosti předem stanoveným způsobem, dle </w:t>
      </w:r>
      <w:r w:rsidR="009A6EEA">
        <w:t>Z</w:t>
      </w:r>
      <w:r w:rsidRPr="00870102">
        <w:t>ákona</w:t>
      </w:r>
      <w:r w:rsidR="009A6EEA">
        <w:t>.</w:t>
      </w:r>
      <w:r>
        <w:tab/>
      </w:r>
    </w:p>
    <w:p w14:paraId="6B1A3295" w14:textId="77777777" w:rsidR="000665B9" w:rsidRDefault="000665B9" w:rsidP="00870102">
      <w:pPr>
        <w:rPr>
          <w:b/>
          <w:bCs/>
        </w:rPr>
      </w:pPr>
    </w:p>
    <w:p w14:paraId="023F935D" w14:textId="2FB5C383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7. Jakým způsobem zahájit řešení životní situace</w:t>
      </w:r>
    </w:p>
    <w:p w14:paraId="65A6652B" w14:textId="6A1A84DD" w:rsidR="00870102" w:rsidRPr="000665B9" w:rsidRDefault="00870102" w:rsidP="000665B9">
      <w:pPr>
        <w:ind w:firstLine="708"/>
        <w:rPr>
          <w:color w:val="FF0000"/>
        </w:rPr>
      </w:pPr>
      <w:r>
        <w:t>a)         Pod</w:t>
      </w:r>
      <w:r w:rsidR="00140E25">
        <w:t xml:space="preserve">áním žádosti na </w:t>
      </w:r>
      <w:hyperlink r:id="rId5" w:history="1">
        <w:r w:rsidR="00140E25" w:rsidRPr="00140E25">
          <w:rPr>
            <w:rStyle w:val="Hypertextovodkaz"/>
          </w:rPr>
          <w:t>formuláři</w:t>
        </w:r>
      </w:hyperlink>
    </w:p>
    <w:p w14:paraId="3B840959" w14:textId="77777777" w:rsidR="00870102" w:rsidRDefault="00870102" w:rsidP="000665B9">
      <w:pPr>
        <w:ind w:firstLine="708"/>
      </w:pPr>
      <w:r>
        <w:t>b)</w:t>
      </w:r>
      <w:r>
        <w:tab/>
        <w:t>Žádost je podána dnem, kdy ji prokazatelně obdržel povinný subjekt.</w:t>
      </w:r>
    </w:p>
    <w:p w14:paraId="5367764B" w14:textId="688F193E" w:rsidR="00870102" w:rsidRDefault="00870102" w:rsidP="00197D86">
      <w:pPr>
        <w:ind w:left="1413" w:hanging="705"/>
        <w:jc w:val="both"/>
      </w:pPr>
      <w:r>
        <w:t>c)</w:t>
      </w:r>
      <w:r>
        <w:tab/>
        <w:t>Ze žádosti musí být prokazatelné a zřejmé, že se žadatel domáhá informace podle Zákona. Fyzická osoba uvede v žádosti jméno, příjmení, datum narození, adresu trvalého bydliště</w:t>
      </w:r>
      <w:r w:rsidR="00197D86">
        <w:t>,</w:t>
      </w:r>
      <w:r>
        <w:t xml:space="preserve"> nebo, není-li přihlášena k trvalému pobytu, adresu bydliště a adresu pro doručování, liší-li se adresy trvalého pobytu nebo bydliště. Právnická osoba uvede název, identifikační číslo osoby, adresu sídla a adresu pro doručování, liší-li se od adresy sídla. Adresou pro doručování se rozumí též elektronická adresa.</w:t>
      </w:r>
    </w:p>
    <w:p w14:paraId="18EC4911" w14:textId="36DC2323" w:rsidR="00870102" w:rsidRDefault="00870102" w:rsidP="00197D86">
      <w:pPr>
        <w:ind w:left="1413" w:hanging="705"/>
        <w:jc w:val="both"/>
      </w:pPr>
      <w:r>
        <w:t>d)</w:t>
      </w:r>
      <w:r>
        <w:tab/>
        <w:t>Je-li žádost učiněna elektronicky, musí být podána prostřednictvím elektronické adresy povinného subjektu.</w:t>
      </w:r>
    </w:p>
    <w:p w14:paraId="23638FE2" w14:textId="77777777" w:rsidR="000665B9" w:rsidRDefault="000665B9" w:rsidP="00870102">
      <w:pPr>
        <w:rPr>
          <w:b/>
          <w:bCs/>
        </w:rPr>
      </w:pPr>
    </w:p>
    <w:p w14:paraId="28E10E31" w14:textId="6C80C71D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8. Na které instituci životní situaci řešit</w:t>
      </w:r>
      <w:r w:rsidRPr="000665B9">
        <w:rPr>
          <w:b/>
          <w:bCs/>
        </w:rPr>
        <w:tab/>
      </w:r>
    </w:p>
    <w:p w14:paraId="5059B105" w14:textId="27AE1FED" w:rsidR="00870102" w:rsidRDefault="00870102" w:rsidP="00870102">
      <w:r>
        <w:t>Mateřská škola</w:t>
      </w:r>
      <w:r w:rsidR="003A19AC">
        <w:t xml:space="preserve">, Praha 10, </w:t>
      </w:r>
      <w:r w:rsidR="009348F3">
        <w:t>Štěchovická</w:t>
      </w:r>
      <w:r w:rsidR="003A19AC">
        <w:t xml:space="preserve"> </w:t>
      </w:r>
      <w:r w:rsidR="009348F3">
        <w:t>1981</w:t>
      </w:r>
      <w:r w:rsidR="00E83D07">
        <w:t>/4</w:t>
      </w:r>
      <w:r w:rsidR="003A19AC">
        <w:t>, příspěvková organizace</w:t>
      </w:r>
    </w:p>
    <w:p w14:paraId="504F91A2" w14:textId="41F16CDD" w:rsidR="00870102" w:rsidRDefault="009348F3" w:rsidP="00870102">
      <w:r>
        <w:t>Štěchovická</w:t>
      </w:r>
      <w:r w:rsidR="003A19AC">
        <w:t xml:space="preserve"> </w:t>
      </w:r>
      <w:r>
        <w:t>1981/4</w:t>
      </w:r>
      <w:r w:rsidR="003A19AC">
        <w:t xml:space="preserve">, </w:t>
      </w:r>
      <w:r w:rsidR="00602742">
        <w:t>10</w:t>
      </w:r>
      <w:r>
        <w:t>0 00 Praha 10</w:t>
      </w:r>
      <w:r w:rsidR="00E83D07">
        <w:t xml:space="preserve"> -</w:t>
      </w:r>
      <w:r w:rsidR="00E83D07" w:rsidRPr="00E83D07">
        <w:t xml:space="preserve"> </w:t>
      </w:r>
      <w:r w:rsidR="00E83D07">
        <w:t>Strašnice</w:t>
      </w:r>
      <w:r>
        <w:t>, IČ: 70924279</w:t>
      </w:r>
    </w:p>
    <w:p w14:paraId="2B571690" w14:textId="77777777" w:rsidR="00870102" w:rsidRDefault="00870102" w:rsidP="00870102"/>
    <w:p w14:paraId="6F7C786E" w14:textId="757C95E2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9. Kde, s kým a kdy životní situaci řešit</w:t>
      </w:r>
    </w:p>
    <w:p w14:paraId="7542D39E" w14:textId="4C8CFFFC" w:rsidR="009348F3" w:rsidRDefault="009348F3" w:rsidP="009348F3">
      <w:r>
        <w:t>Štěchovická 1981/4, 100 00 Praha 10</w:t>
      </w:r>
      <w:r w:rsidR="00E83D07">
        <w:t xml:space="preserve"> -</w:t>
      </w:r>
      <w:r w:rsidR="00E83D07" w:rsidRPr="00E83D07">
        <w:t xml:space="preserve"> </w:t>
      </w:r>
      <w:r w:rsidR="00E83D07">
        <w:t>Strašnice</w:t>
      </w:r>
      <w:r>
        <w:t>, IČ: 70924279</w:t>
      </w:r>
    </w:p>
    <w:p w14:paraId="2AA08E53" w14:textId="5CC8789D" w:rsidR="000665B9" w:rsidRPr="00190BD7" w:rsidRDefault="009348F3" w:rsidP="000665B9">
      <w:r>
        <w:t>Ředitelka: Mgr. Renata Nedvědová</w:t>
      </w:r>
    </w:p>
    <w:p w14:paraId="023FFB67" w14:textId="5D2BB190" w:rsidR="00190BD7" w:rsidRPr="00190BD7" w:rsidRDefault="00190BD7" w:rsidP="000665B9">
      <w:r w:rsidRPr="00190BD7">
        <w:t>Po předchozí telefonické domluvě</w:t>
      </w:r>
      <w:r>
        <w:t>.</w:t>
      </w:r>
    </w:p>
    <w:p w14:paraId="478F0200" w14:textId="77777777" w:rsidR="00870102" w:rsidRDefault="00870102" w:rsidP="00870102"/>
    <w:p w14:paraId="6DB8D950" w14:textId="1DA98B5B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10. Jaké doklady je nutné mít s sebou</w:t>
      </w:r>
      <w:r w:rsidRPr="000665B9">
        <w:rPr>
          <w:b/>
          <w:bCs/>
        </w:rPr>
        <w:tab/>
      </w:r>
    </w:p>
    <w:p w14:paraId="0C53D89C" w14:textId="54C83BC2" w:rsidR="00870102" w:rsidRDefault="00870102" w:rsidP="00870102">
      <w:r w:rsidRPr="00870102">
        <w:t>Není nutné dokládat žádné doklady</w:t>
      </w:r>
      <w:r w:rsidR="00197D86">
        <w:t>.</w:t>
      </w:r>
    </w:p>
    <w:p w14:paraId="1E9DE680" w14:textId="77777777" w:rsidR="000665B9" w:rsidRDefault="000665B9" w:rsidP="00870102"/>
    <w:p w14:paraId="3B109F55" w14:textId="0CADB011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11. Jaké jsou potřebné formuláře a kde jsou k dispozici</w:t>
      </w:r>
      <w:r w:rsidRPr="000665B9">
        <w:rPr>
          <w:b/>
          <w:bCs/>
        </w:rPr>
        <w:tab/>
      </w:r>
    </w:p>
    <w:p w14:paraId="1ABE4BBA" w14:textId="073D6476" w:rsidR="000665B9" w:rsidRPr="001529A6" w:rsidRDefault="00E83D07" w:rsidP="000665B9">
      <w:pPr>
        <w:rPr>
          <w:color w:val="FF0000"/>
        </w:rPr>
      </w:pPr>
      <w:hyperlink r:id="rId6" w:history="1">
        <w:r w:rsidR="000D78CF" w:rsidRPr="00140E25">
          <w:rPr>
            <w:rStyle w:val="Hypertextovodkaz"/>
          </w:rPr>
          <w:t>Žádost o poskytnutí informace</w:t>
        </w:r>
      </w:hyperlink>
      <w:r w:rsidR="000D78CF" w:rsidRPr="000D78CF">
        <w:t>, dle zákona č. 106/1999 Sb., o svobodném přístupu</w:t>
      </w:r>
      <w:r w:rsidR="00140E25">
        <w:t xml:space="preserve"> k informacím</w:t>
      </w:r>
    </w:p>
    <w:p w14:paraId="7E482C47" w14:textId="116BCC5B" w:rsidR="00870102" w:rsidRDefault="00870102" w:rsidP="00870102"/>
    <w:p w14:paraId="7AA6F4AC" w14:textId="0E6F98FC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12. Jaké jsou poplatky a jak je lze uhradit</w:t>
      </w:r>
    </w:p>
    <w:p w14:paraId="27D16EB8" w14:textId="6C7DA879" w:rsidR="000D78CF" w:rsidRDefault="000D78CF" w:rsidP="000D78CF">
      <w:r>
        <w:t xml:space="preserve">Správní poplatky nejsou dle </w:t>
      </w:r>
      <w:r w:rsidR="009A6EEA">
        <w:t>Z</w:t>
      </w:r>
      <w:r>
        <w:t>ákona stanoveny</w:t>
      </w:r>
    </w:p>
    <w:p w14:paraId="4C8F07E0" w14:textId="4F9BF993" w:rsidR="000665B9" w:rsidRPr="001529A6" w:rsidRDefault="000D78CF" w:rsidP="00197D86">
      <w:pPr>
        <w:jc w:val="both"/>
        <w:rPr>
          <w:color w:val="FF0000"/>
        </w:rPr>
      </w:pPr>
      <w:r w:rsidRPr="000665B9">
        <w:rPr>
          <w:i/>
          <w:iCs/>
        </w:rPr>
        <w:t xml:space="preserve">Povinný subjekt může v souvislosti s poskytováním informací dle Zákona požadovat úhradu nákladů, které nesmí přesahovat náklady spojené s pořízením kopií, opatřením nosičů dat a odesláním informace žadateli. Povinný subjekt tak může učinit ve zvláště rozsáhlých vyhledáváních, které subjekt mimořádně personálně zatíží. Následná úhrada ze strany žadatele je příjmem mateřské školy. Úhrady úkonů se </w:t>
      </w:r>
      <w:proofErr w:type="gramStart"/>
      <w:r w:rsidRPr="000665B9">
        <w:rPr>
          <w:i/>
          <w:iCs/>
        </w:rPr>
        <w:t>řídí</w:t>
      </w:r>
      <w:proofErr w:type="gramEnd"/>
      <w:r w:rsidRPr="000665B9">
        <w:rPr>
          <w:i/>
          <w:iCs/>
        </w:rPr>
        <w:t xml:space="preserve"> sazebníkem </w:t>
      </w:r>
      <w:proofErr w:type="gramStart"/>
      <w:r w:rsidRPr="000665B9">
        <w:rPr>
          <w:i/>
          <w:iCs/>
        </w:rPr>
        <w:t>viz</w:t>
      </w:r>
      <w:proofErr w:type="gramEnd"/>
      <w:r w:rsidRPr="000665B9">
        <w:rPr>
          <w:i/>
          <w:iCs/>
        </w:rPr>
        <w:t xml:space="preserve"> </w:t>
      </w:r>
      <w:hyperlink r:id="rId7" w:history="1">
        <w:r w:rsidR="00140E25" w:rsidRPr="00140E25">
          <w:rPr>
            <w:rStyle w:val="Hypertextovodkaz"/>
            <w:i/>
            <w:iCs/>
          </w:rPr>
          <w:t>Povinně zveřejňované informace</w:t>
        </w:r>
      </w:hyperlink>
      <w:r w:rsidR="00140E25">
        <w:rPr>
          <w:i/>
          <w:iCs/>
        </w:rPr>
        <w:t>, bod 15.</w:t>
      </w:r>
    </w:p>
    <w:p w14:paraId="484F594C" w14:textId="77777777" w:rsidR="000665B9" w:rsidRDefault="000665B9" w:rsidP="00870102">
      <w:pPr>
        <w:rPr>
          <w:b/>
          <w:bCs/>
        </w:rPr>
      </w:pPr>
    </w:p>
    <w:p w14:paraId="5BAE40B9" w14:textId="348E0B2C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13. Jaké jsou lhůty pro vyřízení</w:t>
      </w:r>
    </w:p>
    <w:p w14:paraId="3BF169D0" w14:textId="5FC214F3" w:rsidR="000D78CF" w:rsidRDefault="000D78CF" w:rsidP="000665B9">
      <w:pPr>
        <w:ind w:firstLine="708"/>
      </w:pPr>
      <w:r>
        <w:t>a)</w:t>
      </w:r>
      <w:r>
        <w:tab/>
      </w:r>
      <w:hyperlink r:id="rId8" w:history="1">
        <w:r w:rsidRPr="00140E25">
          <w:rPr>
            <w:rStyle w:val="Hypertextovodkaz"/>
          </w:rPr>
          <w:t>Žádost</w:t>
        </w:r>
      </w:hyperlink>
      <w:r>
        <w:t xml:space="preserve"> je podána dnem, kdy ji prokazatelně obdržel povinný subjekt.</w:t>
      </w:r>
    </w:p>
    <w:p w14:paraId="37752ED3" w14:textId="20A97252" w:rsidR="000D78CF" w:rsidRDefault="000D78CF" w:rsidP="00197D86">
      <w:pPr>
        <w:ind w:left="1413" w:hanging="705"/>
        <w:jc w:val="both"/>
      </w:pPr>
      <w:r>
        <w:t>b)</w:t>
      </w:r>
      <w:r>
        <w:tab/>
        <w:t xml:space="preserve">Ze žádosti musí být prokazatelné a zřejmé, že se žadatel domáhá informace podle </w:t>
      </w:r>
      <w:r w:rsidR="009A6EEA">
        <w:t>Z</w:t>
      </w:r>
      <w:r>
        <w:t>ákona</w:t>
      </w:r>
      <w:r w:rsidR="000D17E8">
        <w:t>.</w:t>
      </w:r>
      <w:r>
        <w:t xml:space="preserve"> Fyzická osoba uvede v žádosti jméno, příjmení, datum narození, adresu trvalého bydliště</w:t>
      </w:r>
      <w:r w:rsidR="00197D86">
        <w:t>,</w:t>
      </w:r>
      <w:r>
        <w:t xml:space="preserve"> nebo, není-li přihlášena k trvalému pobytu, adresu bydliště a adresu pro doručování, liší-li se adresy trvalého pobytu nebo bydliště. Právnická osoba uvede název, identifikační číslo osoby, adresu sídla a adresu pro doručování, liší-li se od adresy sídla. Adresou pro doručování se rozumí též elektronická adresa.</w:t>
      </w:r>
    </w:p>
    <w:p w14:paraId="25921B76" w14:textId="6AA18200" w:rsidR="000D78CF" w:rsidRDefault="000D78CF" w:rsidP="00197D86">
      <w:pPr>
        <w:ind w:left="1413" w:hanging="705"/>
        <w:jc w:val="both"/>
      </w:pPr>
      <w:r>
        <w:t>c)</w:t>
      </w:r>
      <w:r>
        <w:tab/>
        <w:t>Je-li žádost učiněna elektronicky, musí být podána prostřednictvím elektronické adresy povinného subjektu</w:t>
      </w:r>
      <w:r w:rsidR="009A6EEA">
        <w:t>.</w:t>
      </w:r>
    </w:p>
    <w:p w14:paraId="71344A4B" w14:textId="77777777" w:rsidR="000D78CF" w:rsidRDefault="000D78CF" w:rsidP="00197D86">
      <w:pPr>
        <w:ind w:left="1413" w:hanging="705"/>
        <w:jc w:val="both"/>
      </w:pPr>
      <w:r>
        <w:lastRenderedPageBreak/>
        <w:t>d)</w:t>
      </w:r>
      <w:r>
        <w:tab/>
        <w:t>Brání-li nedostatek údajů o žadateli vyřízení této žádosti, vyzve povinný subjekt žadatele do 7 dnů ode dne podání žádosti, aby své podání doplnil. Nevyhoví-li žadatel této výzvě do 30 dnů, povinný subjekt žádost odloží, ve smyslu § 14 Zákona.</w:t>
      </w:r>
    </w:p>
    <w:p w14:paraId="7E130392" w14:textId="77777777" w:rsidR="000D78CF" w:rsidRDefault="000D78CF" w:rsidP="00190BD7">
      <w:pPr>
        <w:ind w:left="1413" w:hanging="705"/>
        <w:jc w:val="both"/>
      </w:pPr>
      <w:r>
        <w:t>e)</w:t>
      </w:r>
      <w:r>
        <w:tab/>
        <w:t xml:space="preserve">V případě, že je žádost nesrozumitelná, není zřejmé, jaká informace je požadována, nebo je formulována příliš obecně, vyzve povinný subjekt žadatele ve lhůtě 7 dnů od podání žádosti, aby žádost upřesnil. Neupřesní-li žadatel žádost do 30 dnů ode dne doručení výzvy, rozhodne povinný subjekt o odmítnutí žádosti. </w:t>
      </w:r>
    </w:p>
    <w:p w14:paraId="3A7D00A2" w14:textId="6DE81723" w:rsidR="000D78CF" w:rsidRDefault="000D78CF" w:rsidP="00190BD7">
      <w:pPr>
        <w:ind w:left="1413" w:hanging="705"/>
        <w:jc w:val="both"/>
      </w:pPr>
      <w:r>
        <w:t>f)</w:t>
      </w:r>
      <w:r>
        <w:tab/>
        <w:t>Nerozhodne-li povinný subjekt o odmítnutí žádosti, poskytne informaci ve lhůtě nejpozději do 15 dnů ode dne přijetí žádosti</w:t>
      </w:r>
      <w:r w:rsidR="00190BD7">
        <w:t>,</w:t>
      </w:r>
      <w:r>
        <w:t xml:space="preserve"> nebo ode dne jejího doplnění. </w:t>
      </w:r>
    </w:p>
    <w:p w14:paraId="688E25C9" w14:textId="77777777" w:rsidR="000D78CF" w:rsidRDefault="000D78CF" w:rsidP="00190BD7">
      <w:pPr>
        <w:ind w:left="1413" w:hanging="705"/>
        <w:jc w:val="both"/>
      </w:pPr>
      <w:r>
        <w:t>g)</w:t>
      </w:r>
      <w:r>
        <w:tab/>
        <w:t>Lhůtu pro poskytnutí informace podle odst. 5, písmene d Zákona může povinný subjekt ze závažných důvodů prodloužit, nejvýše však o deset dní. Závažné důvody jsou vyjmenovány v § 14 odst. 7 Zákona.</w:t>
      </w:r>
    </w:p>
    <w:p w14:paraId="7EA26BF7" w14:textId="304C6F2E" w:rsidR="00870102" w:rsidRDefault="000D78CF" w:rsidP="000665B9">
      <w:pPr>
        <w:ind w:firstLine="708"/>
      </w:pPr>
      <w:r>
        <w:t>h)</w:t>
      </w:r>
      <w:r>
        <w:tab/>
        <w:t>O postupu při poskytování informace se pořídí záznam.</w:t>
      </w:r>
    </w:p>
    <w:p w14:paraId="634FD07B" w14:textId="77777777" w:rsidR="000665B9" w:rsidRDefault="000665B9" w:rsidP="00870102">
      <w:pPr>
        <w:rPr>
          <w:b/>
          <w:bCs/>
        </w:rPr>
      </w:pPr>
    </w:p>
    <w:p w14:paraId="23A9027B" w14:textId="25590634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14. Kteří jsou další účastníci (dotčení) řešení životní situace</w:t>
      </w:r>
      <w:r w:rsidRPr="000665B9">
        <w:rPr>
          <w:b/>
          <w:bCs/>
        </w:rPr>
        <w:tab/>
      </w:r>
    </w:p>
    <w:p w14:paraId="5B1905DB" w14:textId="7BCC9C76" w:rsidR="00870102" w:rsidRDefault="000D78CF" w:rsidP="00870102">
      <w:r>
        <w:t>Nejsou další účastníci</w:t>
      </w:r>
      <w:r w:rsidR="00190BD7">
        <w:t>.</w:t>
      </w:r>
    </w:p>
    <w:p w14:paraId="1BE117C1" w14:textId="77777777" w:rsidR="000665B9" w:rsidRDefault="000665B9" w:rsidP="00870102">
      <w:pPr>
        <w:rPr>
          <w:b/>
          <w:bCs/>
        </w:rPr>
      </w:pPr>
    </w:p>
    <w:p w14:paraId="39874F17" w14:textId="3C9ADB6F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15. Jaké další činnosti jsou po žadateli požadovány</w:t>
      </w:r>
    </w:p>
    <w:p w14:paraId="3482469E" w14:textId="739B59B8" w:rsidR="000D78CF" w:rsidRDefault="000D78CF" w:rsidP="00870102">
      <w:r>
        <w:t>Nejsou požadovány další činnosti</w:t>
      </w:r>
      <w:r w:rsidR="00190BD7">
        <w:t>.</w:t>
      </w:r>
    </w:p>
    <w:p w14:paraId="6F41710C" w14:textId="77777777" w:rsidR="000665B9" w:rsidRDefault="000665B9" w:rsidP="00870102">
      <w:pPr>
        <w:rPr>
          <w:b/>
          <w:bCs/>
        </w:rPr>
      </w:pPr>
    </w:p>
    <w:p w14:paraId="13614297" w14:textId="4D4871C5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16. Elektronická služba, kterou lze využít</w:t>
      </w:r>
      <w:r w:rsidRPr="000665B9">
        <w:rPr>
          <w:b/>
          <w:bCs/>
        </w:rPr>
        <w:tab/>
      </w:r>
    </w:p>
    <w:p w14:paraId="5D6D34AA" w14:textId="6BBB1B14" w:rsidR="00190BD7" w:rsidRPr="00190BD7" w:rsidRDefault="000D78CF" w:rsidP="00190BD7">
      <w:r>
        <w:t>Není stanovena</w:t>
      </w:r>
      <w:r w:rsidR="00904E67">
        <w:t xml:space="preserve">, dotaz lze zaslat na elektronickou adresu: </w:t>
      </w:r>
      <w:hyperlink r:id="rId9" w:history="1">
        <w:r w:rsidR="006C5B62" w:rsidRPr="00C7399F">
          <w:rPr>
            <w:rStyle w:val="Hypertextovodkaz"/>
          </w:rPr>
          <w:t>reditelka@msstechovicka.cz</w:t>
        </w:r>
      </w:hyperlink>
      <w:r w:rsidR="00190BD7" w:rsidRPr="00190BD7">
        <w:t xml:space="preserve"> </w:t>
      </w:r>
      <w:r w:rsidR="00190BD7">
        <w:t>, n</w:t>
      </w:r>
      <w:r w:rsidR="00190BD7" w:rsidRPr="00190BD7">
        <w:t xml:space="preserve">ebo </w:t>
      </w:r>
      <w:r w:rsidR="00190BD7">
        <w:t>do datov</w:t>
      </w:r>
      <w:r w:rsidR="009348F3">
        <w:t xml:space="preserve">é schránky ID: </w:t>
      </w:r>
      <w:proofErr w:type="spellStart"/>
      <w:r w:rsidR="009348F3">
        <w:t>hptkxkt</w:t>
      </w:r>
      <w:proofErr w:type="spellEnd"/>
    </w:p>
    <w:p w14:paraId="2A1A2B62" w14:textId="16A00300" w:rsidR="00190BD7" w:rsidRPr="00190BD7" w:rsidRDefault="00190BD7" w:rsidP="00870102">
      <w:pPr>
        <w:rPr>
          <w:color w:val="0563C1" w:themeColor="hyperlink"/>
          <w:u w:val="single"/>
        </w:rPr>
      </w:pPr>
    </w:p>
    <w:p w14:paraId="6E8DF4EC" w14:textId="3E78E828" w:rsidR="00870102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17. Podle kterého právního předpisu se postupuje</w:t>
      </w:r>
    </w:p>
    <w:p w14:paraId="75A7C29B" w14:textId="50258829" w:rsidR="000D78CF" w:rsidRDefault="00E83D07" w:rsidP="00870102">
      <w:hyperlink r:id="rId10" w:history="1">
        <w:r w:rsidR="000D78CF" w:rsidRPr="000D78CF">
          <w:rPr>
            <w:rStyle w:val="Hypertextovodkaz"/>
          </w:rPr>
          <w:t>Zákon č. 106/1999 Sb. O svobodném přístupu k informacím</w:t>
        </w:r>
      </w:hyperlink>
    </w:p>
    <w:p w14:paraId="3462CC68" w14:textId="77777777" w:rsidR="000665B9" w:rsidRDefault="000665B9" w:rsidP="00870102">
      <w:pPr>
        <w:rPr>
          <w:b/>
          <w:bCs/>
        </w:rPr>
      </w:pPr>
    </w:p>
    <w:p w14:paraId="54763658" w14:textId="3B6F3576" w:rsidR="000D78CF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t>18. Jaké jsou související předpisy</w:t>
      </w:r>
    </w:p>
    <w:p w14:paraId="560FB3CC" w14:textId="77777777" w:rsidR="000D78CF" w:rsidRDefault="00E83D07" w:rsidP="000D78CF">
      <w:hyperlink r:id="rId11" w:history="1">
        <w:r w:rsidR="000D78CF" w:rsidRPr="000D1AFC">
          <w:rPr>
            <w:rStyle w:val="Hypertextovodkaz"/>
          </w:rPr>
          <w:t>Zákon č. 128/2000 Sb., o obcích (obecní zřízení), ve znění pozdějších předpisů.</w:t>
        </w:r>
      </w:hyperlink>
    </w:p>
    <w:p w14:paraId="33716D2E" w14:textId="77777777" w:rsidR="000D78CF" w:rsidRDefault="00E83D07" w:rsidP="000D78CF">
      <w:hyperlink r:id="rId12" w:history="1">
        <w:r w:rsidR="000D78CF" w:rsidRPr="00FA2FFB">
          <w:rPr>
            <w:rStyle w:val="Hypertextovodkaz"/>
          </w:rPr>
          <w:t>Zákon č. 561/2004 Sb., o předškolním, základním, středním, vyšším odborném a jiném vzdělávání (školský zákon).</w:t>
        </w:r>
      </w:hyperlink>
    </w:p>
    <w:p w14:paraId="21764FE9" w14:textId="77777777" w:rsidR="000D78CF" w:rsidRDefault="00E83D07" w:rsidP="000D78CF">
      <w:hyperlink r:id="rId13" w:history="1">
        <w:r w:rsidR="000D78CF" w:rsidRPr="000D1AFC">
          <w:rPr>
            <w:rStyle w:val="Hypertextovodkaz"/>
          </w:rPr>
          <w:t>Vyhláška č. 442/2006 Sb. Vyhláška, kterou se stanoví struktura informací zveřejňovaných o povinném subjektu způsobem umožňujícím dálkový přístup.</w:t>
        </w:r>
      </w:hyperlink>
    </w:p>
    <w:p w14:paraId="32E8A49B" w14:textId="33AA93A8" w:rsidR="00870102" w:rsidRDefault="00870102" w:rsidP="00870102">
      <w:r>
        <w:tab/>
      </w:r>
    </w:p>
    <w:p w14:paraId="31EF64A8" w14:textId="77777777" w:rsidR="00140E25" w:rsidRDefault="00140E25" w:rsidP="00870102"/>
    <w:p w14:paraId="6750E7E7" w14:textId="77777777" w:rsidR="000D78CF" w:rsidRPr="000665B9" w:rsidRDefault="00870102" w:rsidP="00870102">
      <w:pPr>
        <w:rPr>
          <w:b/>
          <w:bCs/>
        </w:rPr>
      </w:pPr>
      <w:r w:rsidRPr="000665B9">
        <w:rPr>
          <w:b/>
          <w:bCs/>
        </w:rPr>
        <w:lastRenderedPageBreak/>
        <w:t>19. Jaké jsou opravné prostředky a jak se uplatňují</w:t>
      </w:r>
    </w:p>
    <w:p w14:paraId="67E8179D" w14:textId="77777777" w:rsidR="000D78CF" w:rsidRPr="002F101A" w:rsidRDefault="000D78CF" w:rsidP="000D78CF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F101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Odvolání</w:t>
      </w:r>
    </w:p>
    <w:p w14:paraId="4DDEC41E" w14:textId="77777777" w:rsidR="000D78CF" w:rsidRPr="00250A55" w:rsidRDefault="000D78CF" w:rsidP="000D78CF">
      <w:pPr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a)</w:t>
      </w:r>
      <w:r w:rsidRPr="00250A55">
        <w:rPr>
          <w:rFonts w:ascii="Arial" w:hAnsi="Arial" w:cs="Arial"/>
          <w:sz w:val="20"/>
          <w:szCs w:val="20"/>
        </w:rPr>
        <w:tab/>
        <w:t>Proti rozhodnutí povinného subjektu o odmítnutí žádosti lze podat odvolání.</w:t>
      </w:r>
    </w:p>
    <w:p w14:paraId="761683D1" w14:textId="77777777" w:rsidR="000D78CF" w:rsidRPr="00250A55" w:rsidRDefault="000D78CF" w:rsidP="00190BD7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b)</w:t>
      </w:r>
      <w:r w:rsidRPr="00250A55">
        <w:rPr>
          <w:rFonts w:ascii="Arial" w:hAnsi="Arial" w:cs="Arial"/>
          <w:sz w:val="20"/>
          <w:szCs w:val="20"/>
        </w:rPr>
        <w:tab/>
        <w:t>Povinný subjekt předloží odvolání spolu se spisovým materiálem Městské části Praha 10 (MČP10) ve lhůtě 15 dnů ode dne doručení odvolání.</w:t>
      </w:r>
    </w:p>
    <w:p w14:paraId="58CBEFB8" w14:textId="77777777" w:rsidR="000D78CF" w:rsidRPr="00250A55" w:rsidRDefault="000D78CF" w:rsidP="00190BD7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c)</w:t>
      </w:r>
      <w:r w:rsidRPr="00250A55">
        <w:rPr>
          <w:rFonts w:ascii="Arial" w:hAnsi="Arial" w:cs="Arial"/>
          <w:sz w:val="20"/>
          <w:szCs w:val="20"/>
        </w:rPr>
        <w:tab/>
        <w:t>MČP10 rozhodne o odvolání do 15 dnů ode dne předložení odvolání povinným subjektem. Tuto lhůtu nelze dle zákona prodloužit.</w:t>
      </w:r>
    </w:p>
    <w:p w14:paraId="22B85D5B" w14:textId="77777777" w:rsidR="000D78CF" w:rsidRPr="00140E25" w:rsidRDefault="000D78CF" w:rsidP="000D78CF">
      <w:pPr>
        <w:rPr>
          <w:rFonts w:ascii="Arial" w:hAnsi="Arial" w:cs="Arial"/>
          <w:sz w:val="20"/>
          <w:szCs w:val="20"/>
        </w:rPr>
      </w:pPr>
    </w:p>
    <w:p w14:paraId="15E23B09" w14:textId="77777777" w:rsidR="000D78CF" w:rsidRPr="002F101A" w:rsidRDefault="000D78CF" w:rsidP="000D78CF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F101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Stížnost na postup při vyřizování žádosti o informace</w:t>
      </w:r>
    </w:p>
    <w:p w14:paraId="22FF8CFB" w14:textId="77777777" w:rsidR="000D78CF" w:rsidRPr="00250A55" w:rsidRDefault="000D78CF" w:rsidP="000D78CF">
      <w:pPr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a)</w:t>
      </w:r>
      <w:r w:rsidRPr="00250A55">
        <w:rPr>
          <w:rFonts w:ascii="Arial" w:hAnsi="Arial" w:cs="Arial"/>
          <w:sz w:val="20"/>
          <w:szCs w:val="20"/>
        </w:rPr>
        <w:tab/>
        <w:t>Stížnost na postup při vyřizování žádosti o informace (dále jen „stížnost") může podat žadatel,</w:t>
      </w:r>
    </w:p>
    <w:p w14:paraId="40D04250" w14:textId="77777777" w:rsidR="000D78CF" w:rsidRPr="00250A55" w:rsidRDefault="000D78CF" w:rsidP="000665B9">
      <w:pPr>
        <w:ind w:firstLine="708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1) který nesouhlasí s vyřízením žádosti způsobem uvedeným v § 6 Zákona,</w:t>
      </w:r>
    </w:p>
    <w:p w14:paraId="108CDBB2" w14:textId="77777777" w:rsidR="000D78CF" w:rsidRPr="00250A55" w:rsidRDefault="000D78CF" w:rsidP="00190BD7">
      <w:pPr>
        <w:ind w:left="708"/>
        <w:jc w:val="both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2) kterému po uplynutí lhůty podle § 14 odst. 5 písm. d) nebo § 14 odst. 7 Zákona nebyla poskytnuta informace nebo předložena konečná licenční nabídka a nebylo vydáno rozhodnutí o odmítnutí žádosti,</w:t>
      </w:r>
    </w:p>
    <w:p w14:paraId="06D4ECF8" w14:textId="77777777" w:rsidR="000D78CF" w:rsidRPr="00250A55" w:rsidRDefault="000D78CF" w:rsidP="00190BD7">
      <w:pPr>
        <w:ind w:left="708"/>
        <w:jc w:val="both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3) kterému byla informace poskytnuta částečně, aniž bylo o zbytku žádosti vydáno rozhodnutí o odmítnutí, nebo</w:t>
      </w:r>
    </w:p>
    <w:p w14:paraId="3193AD80" w14:textId="5E0DD101" w:rsidR="000D78CF" w:rsidRPr="00250A55" w:rsidRDefault="000D78CF" w:rsidP="00190BD7">
      <w:pPr>
        <w:ind w:firstLine="708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 xml:space="preserve">4) který nesouhlasí s výší úhrady sdělené podle § 17 </w:t>
      </w:r>
      <w:r w:rsidR="00190BD7">
        <w:rPr>
          <w:rFonts w:ascii="Arial" w:hAnsi="Arial" w:cs="Arial"/>
          <w:sz w:val="20"/>
          <w:szCs w:val="20"/>
        </w:rPr>
        <w:t xml:space="preserve">odst. 3 nebo s výší odměny podle </w:t>
      </w:r>
    </w:p>
    <w:p w14:paraId="0973E550" w14:textId="77777777" w:rsidR="000D78CF" w:rsidRPr="00250A55" w:rsidRDefault="000D78CF" w:rsidP="00190BD7">
      <w:pPr>
        <w:ind w:firstLine="708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§ 14a odst. 2 Zákona, požadovanými v souvislosti s poskytováním informací.</w:t>
      </w:r>
    </w:p>
    <w:p w14:paraId="3E30F16C" w14:textId="77777777" w:rsidR="000D78CF" w:rsidRPr="00250A55" w:rsidRDefault="000D78CF" w:rsidP="00190BD7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b)</w:t>
      </w:r>
      <w:r w:rsidRPr="00250A55">
        <w:rPr>
          <w:rFonts w:ascii="Arial" w:hAnsi="Arial" w:cs="Arial"/>
          <w:sz w:val="20"/>
          <w:szCs w:val="20"/>
        </w:rPr>
        <w:tab/>
        <w:t>Stížnost lze podat písemně nebo ústně; je-li stížnost podána ústně a nelze-li ji ihned vyřídit, sepíše o ní povinný subjekt písemný záznam.</w:t>
      </w:r>
    </w:p>
    <w:p w14:paraId="76AAA162" w14:textId="77777777" w:rsidR="000D78CF" w:rsidRPr="00250A55" w:rsidRDefault="000D78CF" w:rsidP="000D78CF">
      <w:pPr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c)</w:t>
      </w:r>
      <w:r w:rsidRPr="00250A55">
        <w:rPr>
          <w:rFonts w:ascii="Arial" w:hAnsi="Arial" w:cs="Arial"/>
          <w:sz w:val="20"/>
          <w:szCs w:val="20"/>
        </w:rPr>
        <w:tab/>
        <w:t>Stížnost se podává u povinného subjektu, a to do 30 dnů ode dne</w:t>
      </w:r>
    </w:p>
    <w:p w14:paraId="0AFE350D" w14:textId="77777777" w:rsidR="000D78CF" w:rsidRPr="00250A55" w:rsidRDefault="000D78CF" w:rsidP="000665B9">
      <w:pPr>
        <w:ind w:firstLine="708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1) doručení sdělení podle § 6, § 14 odst. 5 písm. c) nebo § 17 odst. 3,</w:t>
      </w:r>
    </w:p>
    <w:p w14:paraId="5545DE5B" w14:textId="77777777" w:rsidR="000D78CF" w:rsidRPr="00250A55" w:rsidRDefault="000D78CF" w:rsidP="000665B9">
      <w:pPr>
        <w:ind w:firstLine="708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2) uplynutí lhůty pro poskytnutí informace podle § 14 odst. 5 písm. d) nebo § 14 odst. 7.</w:t>
      </w:r>
    </w:p>
    <w:p w14:paraId="0EFFEBD2" w14:textId="77777777" w:rsidR="000D78CF" w:rsidRPr="00250A55" w:rsidRDefault="000D78CF" w:rsidP="000D78CF">
      <w:pPr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d)</w:t>
      </w:r>
      <w:r w:rsidRPr="00250A55">
        <w:rPr>
          <w:rFonts w:ascii="Arial" w:hAnsi="Arial" w:cs="Arial"/>
          <w:sz w:val="20"/>
          <w:szCs w:val="20"/>
        </w:rPr>
        <w:tab/>
        <w:t>O stížnosti rozhoduje nadřízený orgán, tj. MČP10.</w:t>
      </w:r>
    </w:p>
    <w:p w14:paraId="0B069FC0" w14:textId="77777777" w:rsidR="000D78CF" w:rsidRPr="00250A55" w:rsidRDefault="000D78CF" w:rsidP="00190BD7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e)</w:t>
      </w:r>
      <w:r w:rsidRPr="00250A55">
        <w:rPr>
          <w:rFonts w:ascii="Arial" w:hAnsi="Arial" w:cs="Arial"/>
          <w:sz w:val="20"/>
          <w:szCs w:val="20"/>
        </w:rPr>
        <w:tab/>
        <w:t>Povinný subjekt předloží stížnost spolu se spisovým materiálem nadřízenému orgánu (MČP10) do 7 dnů ode dne, kdy mu stížnost došla, pokud v této lhůtě stížnosti sám zcela nevyhoví tím, že poskytne požadovanou informaci nebo konečnou licenční nabídku, nebo vydá rozhodnutí o odmítnutí žádosti.</w:t>
      </w:r>
    </w:p>
    <w:p w14:paraId="182B2EAB" w14:textId="77777777" w:rsidR="000D78CF" w:rsidRPr="00250A55" w:rsidRDefault="000D78CF" w:rsidP="00190BD7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f)</w:t>
      </w:r>
      <w:r w:rsidRPr="00250A55">
        <w:rPr>
          <w:rFonts w:ascii="Arial" w:hAnsi="Arial" w:cs="Arial"/>
          <w:sz w:val="20"/>
          <w:szCs w:val="20"/>
        </w:rPr>
        <w:tab/>
        <w:t>Nadřízený orgán při rozhodování o stížnosti podle odstavce 1 písm. a), b) nebo c) Zákona přezkoumá postup povinného subjektu a rozhodne tak, že</w:t>
      </w:r>
    </w:p>
    <w:p w14:paraId="54BACA34" w14:textId="77777777" w:rsidR="000D78CF" w:rsidRPr="00250A55" w:rsidRDefault="000D78CF" w:rsidP="000665B9">
      <w:pPr>
        <w:ind w:firstLine="705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1)</w:t>
      </w:r>
      <w:r w:rsidRPr="00250A55">
        <w:rPr>
          <w:rFonts w:ascii="Arial" w:hAnsi="Arial" w:cs="Arial"/>
          <w:sz w:val="20"/>
          <w:szCs w:val="20"/>
        </w:rPr>
        <w:tab/>
        <w:t>postup povinného subjektu potvrdí, nebo</w:t>
      </w:r>
    </w:p>
    <w:p w14:paraId="25638A43" w14:textId="5317F6A4" w:rsidR="000D78CF" w:rsidRPr="00250A55" w:rsidRDefault="000D78CF" w:rsidP="00190BD7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2)</w:t>
      </w:r>
      <w:r w:rsidRPr="00250A55">
        <w:rPr>
          <w:rFonts w:ascii="Arial" w:hAnsi="Arial" w:cs="Arial"/>
          <w:sz w:val="20"/>
          <w:szCs w:val="20"/>
        </w:rPr>
        <w:tab/>
        <w:t>povinnému subjektu přikáže, aby ve stanovené lhůtě, která nesmí být delší než 15 dnů ode dne doručení rozhodnutí nadřízeného orgánu, žádost vyřídil a neshledá-li důvody pro odmítnutí žádosti v případě, kdy dostupné informace o právním a skutkovém stavu nevyvolávají důvodné pochybnosti, postupuje obdobně podle § 16 odst. 4 Zákona, nebo</w:t>
      </w:r>
    </w:p>
    <w:p w14:paraId="25712DF4" w14:textId="02314CEE" w:rsidR="000D78CF" w:rsidRPr="00250A55" w:rsidRDefault="000D78CF" w:rsidP="00190BD7">
      <w:pPr>
        <w:ind w:left="1410" w:hanging="705"/>
        <w:jc w:val="both"/>
        <w:rPr>
          <w:rFonts w:ascii="Arial" w:hAnsi="Arial" w:cs="Arial"/>
          <w:sz w:val="20"/>
          <w:szCs w:val="20"/>
        </w:rPr>
      </w:pPr>
      <w:r w:rsidRPr="00250A55">
        <w:rPr>
          <w:rFonts w:ascii="Arial" w:hAnsi="Arial" w:cs="Arial"/>
          <w:sz w:val="20"/>
          <w:szCs w:val="20"/>
        </w:rPr>
        <w:t>3)</w:t>
      </w:r>
      <w:r w:rsidRPr="00250A55">
        <w:rPr>
          <w:rFonts w:ascii="Arial" w:hAnsi="Arial" w:cs="Arial"/>
          <w:sz w:val="20"/>
          <w:szCs w:val="20"/>
        </w:rPr>
        <w:tab/>
        <w:t>usnesením věc převezme a informaci poskytne sám nebo vydá rozhodnutí o odmítnutí žádosti; tento postup nelze použít vůči orgánům územních samosprávných celků při výkonu samostatné působnosti.</w:t>
      </w:r>
    </w:p>
    <w:p w14:paraId="08FF6FDE" w14:textId="47F54597" w:rsidR="00870102" w:rsidRDefault="00870102" w:rsidP="00870102">
      <w:r>
        <w:tab/>
      </w:r>
    </w:p>
    <w:p w14:paraId="277B936A" w14:textId="77777777" w:rsidR="00140E25" w:rsidRDefault="00140E25" w:rsidP="00870102"/>
    <w:p w14:paraId="2D9BDFBB" w14:textId="58881B7E" w:rsidR="00870102" w:rsidRPr="001529A6" w:rsidRDefault="00870102" w:rsidP="00870102">
      <w:pPr>
        <w:rPr>
          <w:b/>
          <w:bCs/>
        </w:rPr>
      </w:pPr>
      <w:r w:rsidRPr="001529A6">
        <w:rPr>
          <w:b/>
          <w:bCs/>
        </w:rPr>
        <w:lastRenderedPageBreak/>
        <w:t>20. Jaké sankce mohou být uplatněny v případě nedodržení povinností</w:t>
      </w:r>
    </w:p>
    <w:p w14:paraId="78939AF2" w14:textId="03C650EC" w:rsidR="000D78CF" w:rsidRDefault="000D78CF" w:rsidP="00870102">
      <w:r>
        <w:t>Sankce nejsou stanoveny</w:t>
      </w:r>
      <w:r w:rsidR="00190BD7">
        <w:t>.</w:t>
      </w:r>
    </w:p>
    <w:p w14:paraId="6A1B246E" w14:textId="77777777" w:rsidR="00190BD7" w:rsidRPr="00140E25" w:rsidRDefault="00190BD7" w:rsidP="00870102">
      <w:pPr>
        <w:rPr>
          <w:sz w:val="16"/>
        </w:rPr>
      </w:pPr>
    </w:p>
    <w:p w14:paraId="29D5C121" w14:textId="6E951353" w:rsidR="00870102" w:rsidRPr="001529A6" w:rsidRDefault="00870102" w:rsidP="00870102">
      <w:pPr>
        <w:rPr>
          <w:b/>
          <w:bCs/>
        </w:rPr>
      </w:pPr>
      <w:r w:rsidRPr="001529A6">
        <w:rPr>
          <w:b/>
          <w:bCs/>
        </w:rPr>
        <w:t>21. Nejčastější dotazy</w:t>
      </w:r>
      <w:r w:rsidRPr="001529A6">
        <w:rPr>
          <w:b/>
          <w:bCs/>
        </w:rPr>
        <w:tab/>
      </w:r>
    </w:p>
    <w:p w14:paraId="1A4F484B" w14:textId="2E5180BB" w:rsidR="001529A6" w:rsidRDefault="00904E67" w:rsidP="00870102">
      <w:pPr>
        <w:rPr>
          <w:b/>
          <w:bCs/>
        </w:rPr>
      </w:pPr>
      <w:r>
        <w:rPr>
          <w:b/>
          <w:bCs/>
        </w:rPr>
        <w:t>-</w:t>
      </w:r>
    </w:p>
    <w:p w14:paraId="07C44793" w14:textId="77777777" w:rsidR="00190BD7" w:rsidRPr="00140E25" w:rsidRDefault="00190BD7" w:rsidP="00870102">
      <w:pPr>
        <w:rPr>
          <w:b/>
          <w:bCs/>
          <w:sz w:val="16"/>
        </w:rPr>
      </w:pPr>
    </w:p>
    <w:p w14:paraId="33C4DB13" w14:textId="71E5DCAA" w:rsidR="000D78CF" w:rsidRPr="001529A6" w:rsidRDefault="00870102" w:rsidP="00870102">
      <w:pPr>
        <w:rPr>
          <w:b/>
          <w:bCs/>
        </w:rPr>
      </w:pPr>
      <w:r w:rsidRPr="001529A6">
        <w:rPr>
          <w:b/>
          <w:bCs/>
        </w:rPr>
        <w:t>22. Další informace</w:t>
      </w:r>
    </w:p>
    <w:p w14:paraId="165886BE" w14:textId="6AF94AD6" w:rsidR="00870102" w:rsidRDefault="009348F3" w:rsidP="00870102">
      <w:r>
        <w:t xml:space="preserve">Dostupné na </w:t>
      </w:r>
      <w:hyperlink r:id="rId14" w:history="1">
        <w:r w:rsidR="00CD341D">
          <w:rPr>
            <w:rStyle w:val="Hypertextovodkaz"/>
          </w:rPr>
          <w:t>http://www.msstechovicka.cz/</w:t>
        </w:r>
      </w:hyperlink>
      <w:r w:rsidR="00870102">
        <w:tab/>
      </w:r>
    </w:p>
    <w:p w14:paraId="416F9CF9" w14:textId="77777777" w:rsidR="001529A6" w:rsidRPr="00140E25" w:rsidRDefault="001529A6" w:rsidP="00870102">
      <w:pPr>
        <w:rPr>
          <w:b/>
          <w:bCs/>
          <w:sz w:val="16"/>
        </w:rPr>
      </w:pPr>
    </w:p>
    <w:p w14:paraId="4107CE90" w14:textId="2BA3AEA4" w:rsidR="00870102" w:rsidRPr="001529A6" w:rsidRDefault="00870102" w:rsidP="00870102">
      <w:pPr>
        <w:rPr>
          <w:b/>
          <w:bCs/>
        </w:rPr>
      </w:pPr>
      <w:r w:rsidRPr="001529A6">
        <w:rPr>
          <w:b/>
          <w:bCs/>
        </w:rPr>
        <w:t>23. Informace o popisovaném postupu (o řešení životní situace) je možné získat také z jiných zdrojů nebo v jiné formě</w:t>
      </w:r>
    </w:p>
    <w:p w14:paraId="3A80C03C" w14:textId="153A1023" w:rsidR="000D78CF" w:rsidRDefault="000D78CF" w:rsidP="00870102">
      <w:r>
        <w:t>-</w:t>
      </w:r>
    </w:p>
    <w:p w14:paraId="6F89D478" w14:textId="77777777" w:rsidR="00190BD7" w:rsidRPr="00140E25" w:rsidRDefault="00190BD7" w:rsidP="00870102">
      <w:pPr>
        <w:rPr>
          <w:sz w:val="16"/>
        </w:rPr>
      </w:pPr>
    </w:p>
    <w:p w14:paraId="17872748" w14:textId="5EC4C682" w:rsidR="00870102" w:rsidRPr="001529A6" w:rsidRDefault="00870102" w:rsidP="00870102">
      <w:pPr>
        <w:rPr>
          <w:b/>
          <w:bCs/>
        </w:rPr>
      </w:pPr>
      <w:r w:rsidRPr="001529A6">
        <w:rPr>
          <w:b/>
          <w:bCs/>
        </w:rPr>
        <w:t>24. Související životní situace a návody, jak je řešit</w:t>
      </w:r>
    </w:p>
    <w:p w14:paraId="7FC5F1CF" w14:textId="15A903EC" w:rsidR="000D78CF" w:rsidRDefault="000D78CF" w:rsidP="00870102">
      <w:r>
        <w:t>-</w:t>
      </w:r>
    </w:p>
    <w:p w14:paraId="10081FD2" w14:textId="77777777" w:rsidR="00190BD7" w:rsidRPr="00140E25" w:rsidRDefault="00190BD7" w:rsidP="00870102">
      <w:pPr>
        <w:rPr>
          <w:sz w:val="16"/>
        </w:rPr>
      </w:pPr>
    </w:p>
    <w:p w14:paraId="457BC743" w14:textId="0966BEFC" w:rsidR="00870102" w:rsidRPr="000D78CF" w:rsidRDefault="00870102" w:rsidP="00870102">
      <w:pPr>
        <w:rPr>
          <w:b/>
          <w:bCs/>
        </w:rPr>
      </w:pPr>
      <w:r w:rsidRPr="000D78CF">
        <w:rPr>
          <w:b/>
          <w:bCs/>
        </w:rPr>
        <w:t xml:space="preserve">25. Za správnost popisu odpovídá </w:t>
      </w:r>
    </w:p>
    <w:p w14:paraId="26340B9C" w14:textId="3503298A" w:rsidR="001529A6" w:rsidRDefault="009348F3" w:rsidP="001529A6">
      <w:r>
        <w:t>Ředitelka Mgr. Renata Nedvědová</w:t>
      </w:r>
    </w:p>
    <w:p w14:paraId="0F574D38" w14:textId="77777777" w:rsidR="00190BD7" w:rsidRPr="00140E25" w:rsidRDefault="00190BD7" w:rsidP="001529A6">
      <w:pPr>
        <w:rPr>
          <w:sz w:val="16"/>
        </w:rPr>
      </w:pPr>
    </w:p>
    <w:p w14:paraId="4328746F" w14:textId="3884F314" w:rsidR="00870102" w:rsidRPr="000D78CF" w:rsidRDefault="00870102" w:rsidP="00870102">
      <w:pPr>
        <w:rPr>
          <w:b/>
          <w:bCs/>
        </w:rPr>
      </w:pPr>
      <w:r w:rsidRPr="000D78CF">
        <w:rPr>
          <w:b/>
          <w:bCs/>
        </w:rPr>
        <w:t>26. Kontaktní osoba</w:t>
      </w:r>
      <w:r w:rsidRPr="000D78CF">
        <w:rPr>
          <w:b/>
          <w:bCs/>
        </w:rPr>
        <w:tab/>
      </w:r>
    </w:p>
    <w:p w14:paraId="07562670" w14:textId="3E114551" w:rsidR="00190BD7" w:rsidRDefault="009348F3" w:rsidP="00190BD7">
      <w:r>
        <w:t>Ředitelka Mgr. Renata Nedvědová</w:t>
      </w:r>
    </w:p>
    <w:p w14:paraId="0A8CEE53" w14:textId="77777777" w:rsidR="00190BD7" w:rsidRPr="00140E25" w:rsidRDefault="00190BD7" w:rsidP="00190BD7">
      <w:pPr>
        <w:rPr>
          <w:sz w:val="16"/>
        </w:rPr>
      </w:pPr>
    </w:p>
    <w:p w14:paraId="2FCE1D6C" w14:textId="35AE34DE" w:rsidR="000D78CF" w:rsidRPr="000D78CF" w:rsidRDefault="00870102" w:rsidP="00870102">
      <w:pPr>
        <w:rPr>
          <w:b/>
          <w:bCs/>
        </w:rPr>
      </w:pPr>
      <w:r w:rsidRPr="000D78CF">
        <w:rPr>
          <w:b/>
          <w:bCs/>
        </w:rPr>
        <w:t>27. Popis je zpracován podle právního stavu ke dni</w:t>
      </w:r>
    </w:p>
    <w:p w14:paraId="78F0E522" w14:textId="7A235C05" w:rsidR="00870102" w:rsidRDefault="000D78CF" w:rsidP="00870102">
      <w:r>
        <w:t>21.</w:t>
      </w:r>
      <w:r w:rsidR="00190BD7">
        <w:t xml:space="preserve"> </w:t>
      </w:r>
      <w:r>
        <w:t>12.</w:t>
      </w:r>
      <w:r w:rsidR="00190BD7">
        <w:t xml:space="preserve"> </w:t>
      </w:r>
      <w:r>
        <w:t>2020</w:t>
      </w:r>
      <w:r w:rsidR="00870102">
        <w:tab/>
      </w:r>
    </w:p>
    <w:p w14:paraId="1385364B" w14:textId="77777777" w:rsidR="00190BD7" w:rsidRDefault="00190BD7" w:rsidP="00870102"/>
    <w:p w14:paraId="775E4606" w14:textId="22E2300C" w:rsidR="00870102" w:rsidRPr="000D78CF" w:rsidRDefault="00870102" w:rsidP="00870102">
      <w:pPr>
        <w:rPr>
          <w:b/>
          <w:bCs/>
        </w:rPr>
      </w:pPr>
      <w:r w:rsidRPr="000D78CF">
        <w:rPr>
          <w:b/>
          <w:bCs/>
        </w:rPr>
        <w:t>28. Popis byl naposledy aktualizován</w:t>
      </w:r>
      <w:r w:rsidRPr="000D78CF">
        <w:rPr>
          <w:b/>
          <w:bCs/>
        </w:rPr>
        <w:tab/>
      </w:r>
    </w:p>
    <w:p w14:paraId="5A59F813" w14:textId="6A9125F9" w:rsidR="000D78CF" w:rsidRDefault="000D78CF" w:rsidP="00870102">
      <w:r>
        <w:t>2</w:t>
      </w:r>
      <w:r w:rsidR="00E83D07">
        <w:t>7</w:t>
      </w:r>
      <w:r>
        <w:t>.</w:t>
      </w:r>
      <w:r w:rsidR="00190BD7">
        <w:t xml:space="preserve"> </w:t>
      </w:r>
      <w:r>
        <w:t>12.</w:t>
      </w:r>
      <w:r w:rsidR="00190BD7">
        <w:t xml:space="preserve"> </w:t>
      </w:r>
      <w:r w:rsidR="00E83D07">
        <w:t>2021</w:t>
      </w:r>
      <w:bookmarkStart w:id="0" w:name="_GoBack"/>
      <w:bookmarkEnd w:id="0"/>
    </w:p>
    <w:p w14:paraId="458196F1" w14:textId="77777777" w:rsidR="00190BD7" w:rsidRDefault="00190BD7" w:rsidP="00870102"/>
    <w:p w14:paraId="4B8A215C" w14:textId="380BC9C7" w:rsidR="00870102" w:rsidRPr="000D78CF" w:rsidRDefault="00870102" w:rsidP="00870102">
      <w:pPr>
        <w:rPr>
          <w:b/>
          <w:bCs/>
        </w:rPr>
      </w:pPr>
      <w:r w:rsidRPr="000D78CF">
        <w:rPr>
          <w:b/>
          <w:bCs/>
        </w:rPr>
        <w:t>29. Datum konce platnosti popisu</w:t>
      </w:r>
      <w:r w:rsidRPr="000D78CF">
        <w:rPr>
          <w:b/>
          <w:bCs/>
        </w:rPr>
        <w:tab/>
      </w:r>
    </w:p>
    <w:p w14:paraId="3748B3D0" w14:textId="17887638" w:rsidR="000D78CF" w:rsidRDefault="000D78CF" w:rsidP="00870102">
      <w:r>
        <w:t>Nestanoveno</w:t>
      </w:r>
      <w:r w:rsidR="00190BD7">
        <w:t>.</w:t>
      </w:r>
    </w:p>
    <w:p w14:paraId="692BED93" w14:textId="77777777" w:rsidR="00190BD7" w:rsidRDefault="00190BD7" w:rsidP="00870102"/>
    <w:p w14:paraId="00532FBA" w14:textId="5B568DD8" w:rsidR="000D78CF" w:rsidRPr="000D78CF" w:rsidRDefault="00870102" w:rsidP="00870102">
      <w:pPr>
        <w:rPr>
          <w:b/>
          <w:bCs/>
        </w:rPr>
      </w:pPr>
      <w:r w:rsidRPr="000D78CF">
        <w:rPr>
          <w:b/>
          <w:bCs/>
        </w:rPr>
        <w:t>30. Případná upřesnění a poznámky k řešení životní situace</w:t>
      </w:r>
    </w:p>
    <w:p w14:paraId="78D1F33E" w14:textId="03BD48BB" w:rsidR="00870102" w:rsidRDefault="000D78CF" w:rsidP="00870102">
      <w:r>
        <w:t>-</w:t>
      </w:r>
      <w:r w:rsidR="00870102">
        <w:tab/>
      </w:r>
    </w:p>
    <w:sectPr w:rsidR="0087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2"/>
    <w:rsid w:val="00041E8C"/>
    <w:rsid w:val="000665B9"/>
    <w:rsid w:val="000D17E8"/>
    <w:rsid w:val="000D78CF"/>
    <w:rsid w:val="00140E25"/>
    <w:rsid w:val="001529A6"/>
    <w:rsid w:val="00190BD7"/>
    <w:rsid w:val="00195586"/>
    <w:rsid w:val="00197D86"/>
    <w:rsid w:val="002F101A"/>
    <w:rsid w:val="003A19AC"/>
    <w:rsid w:val="00602742"/>
    <w:rsid w:val="006C5B62"/>
    <w:rsid w:val="00727DAD"/>
    <w:rsid w:val="00870102"/>
    <w:rsid w:val="008F1CAC"/>
    <w:rsid w:val="00904E67"/>
    <w:rsid w:val="009348F3"/>
    <w:rsid w:val="009A6EEA"/>
    <w:rsid w:val="00CD341D"/>
    <w:rsid w:val="00E83D07"/>
    <w:rsid w:val="00E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9FCD"/>
  <w15:chartTrackingRefBased/>
  <w15:docId w15:val="{3C7BFF40-0C42-4DFC-A944-477B4C49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1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78C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techovicka.cz/dokumenty" TargetMode="External"/><Relationship Id="rId13" Type="http://schemas.openxmlformats.org/officeDocument/2006/relationships/hyperlink" Target="https://www.zakonyprolidi.cz/cs/2006-4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stechovicka.cz/dokumenty" TargetMode="External"/><Relationship Id="rId12" Type="http://schemas.openxmlformats.org/officeDocument/2006/relationships/hyperlink" Target="https://www.zakonyprolidi.cz/cs/2004-561/zneni-202010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sstechovicka.cz/dokumenty" TargetMode="External"/><Relationship Id="rId11" Type="http://schemas.openxmlformats.org/officeDocument/2006/relationships/hyperlink" Target="https://www.zakonyprolidi.cz/cs/2000-128?text=z%C3%A1kon+o+obc%C3%ADch" TargetMode="External"/><Relationship Id="rId5" Type="http://schemas.openxmlformats.org/officeDocument/2006/relationships/hyperlink" Target="http://msstechovicka.cz/dokumen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zakonyprolidi.cz/cs/1999-106" TargetMode="External"/><Relationship Id="rId4" Type="http://schemas.openxmlformats.org/officeDocument/2006/relationships/hyperlink" Target="http://msstechovicka.cz/dokumenty" TargetMode="External"/><Relationship Id="rId9" Type="http://schemas.openxmlformats.org/officeDocument/2006/relationships/hyperlink" Target="mailto:reditelka@msstechovicka.cz" TargetMode="External"/><Relationship Id="rId14" Type="http://schemas.openxmlformats.org/officeDocument/2006/relationships/hyperlink" Target="http://www.msstechovic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Rudik</dc:creator>
  <cp:keywords/>
  <dc:description/>
  <cp:lastModifiedBy>Randáková Lucie</cp:lastModifiedBy>
  <cp:revision>3</cp:revision>
  <cp:lastPrinted>2021-01-13T17:19:00Z</cp:lastPrinted>
  <dcterms:created xsi:type="dcterms:W3CDTF">2021-12-27T13:43:00Z</dcterms:created>
  <dcterms:modified xsi:type="dcterms:W3CDTF">2021-12-27T13:54:00Z</dcterms:modified>
</cp:coreProperties>
</file>